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AA7B1" w14:textId="0361932F" w:rsidR="00207145" w:rsidRPr="004C2C17" w:rsidRDefault="00207145" w:rsidP="00207145">
      <w:pPr>
        <w:tabs>
          <w:tab w:val="left" w:pos="145"/>
        </w:tabs>
        <w:spacing w:after="480" w:line="360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4C2C17">
        <w:rPr>
          <w:rFonts w:ascii="Tahoma" w:hAnsi="Tahoma" w:cs="Tahoma"/>
          <w:color w:val="000000"/>
          <w:sz w:val="22"/>
          <w:szCs w:val="22"/>
        </w:rPr>
        <w:t xml:space="preserve">Załącznik nr </w:t>
      </w:r>
      <w:r w:rsidR="004430BE">
        <w:rPr>
          <w:rFonts w:ascii="Tahoma" w:hAnsi="Tahoma" w:cs="Tahoma"/>
          <w:color w:val="000000"/>
          <w:sz w:val="22"/>
          <w:szCs w:val="22"/>
        </w:rPr>
        <w:t>3 do umowy …………….</w:t>
      </w:r>
    </w:p>
    <w:p w14:paraId="2C403686" w14:textId="77777777" w:rsidR="00207145" w:rsidRPr="004C2C17" w:rsidRDefault="00207145" w:rsidP="00207145">
      <w:pPr>
        <w:widowControl/>
        <w:spacing w:before="240" w:after="240" w:line="36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C2C17">
        <w:rPr>
          <w:rFonts w:ascii="Tahoma" w:hAnsi="Tahoma" w:cs="Tahoma"/>
          <w:b/>
          <w:bCs/>
          <w:color w:val="000000"/>
          <w:sz w:val="28"/>
          <w:szCs w:val="28"/>
        </w:rPr>
        <w:t>ZASADY ŚWIADCZENIA USŁUG ORAZ PARAMETRY JAKOŚCIOWE ZWIĄZANE ZE ŚWIADCZENIEM USŁUG</w:t>
      </w:r>
    </w:p>
    <w:p w14:paraId="36788B05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§1</w:t>
      </w:r>
    </w:p>
    <w:p w14:paraId="3EAA9F5B" w14:textId="77777777" w:rsidR="004430BE" w:rsidRDefault="00207145" w:rsidP="004430BE">
      <w:pPr>
        <w:widowControl/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Zasady świadczenia Usług oraz parametry jakościowe związane ze świadczeniem Usług </w:t>
      </w:r>
      <w:r w:rsid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są </w:t>
      </w: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określ</w:t>
      </w:r>
      <w:r w:rsid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>one w</w:t>
      </w:r>
    </w:p>
    <w:p w14:paraId="3B297003" w14:textId="0703DBB1" w:rsidR="004430BE" w:rsidRDefault="004430BE" w:rsidP="004430BE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Rozkładach jazdy;</w:t>
      </w:r>
    </w:p>
    <w:p w14:paraId="6CF3CC7C" w14:textId="14CCB658" w:rsidR="00207145" w:rsidRPr="004430BE" w:rsidRDefault="004430BE" w:rsidP="004430BE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Postanowieniach niniejszego Załącznika </w:t>
      </w:r>
    </w:p>
    <w:p w14:paraId="5FD7B6E6" w14:textId="6C1ACED8" w:rsidR="00207145" w:rsidRPr="000556CE" w:rsidRDefault="00207145" w:rsidP="004430BE">
      <w:pPr>
        <w:widowControl/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>Rozkład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>jazdy w trakcie trwania Zamówienia będ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zie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aktualizowan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y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 zależności od potrzeb komunikacyjnych, w tym w dostosowaniu do godzin kursowania pociągów. Ostateczn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y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rozkład jazdy ważn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y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 momencie rozpoczęcia świadczenia usług zostan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ie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dostarczon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y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Wykonawcy najpóźniej </w:t>
      </w:r>
      <w:r w:rsid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>7</w:t>
      </w: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dni przed rozpoczęciem świadczenia usług.</w:t>
      </w:r>
    </w:p>
    <w:p w14:paraId="71907E01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§2</w:t>
      </w:r>
    </w:p>
    <w:p w14:paraId="4F3ECE25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Przed rozpoczęciem obsługi zadań przewozowych prowadzący jest zobowiązany do ogólnej oceny stanu technicznego pojazdu z naciskiem na funkcjonowanie urządzeń i układów bezpieczeństwa, a w szczególności do sprawdzenia: </w:t>
      </w:r>
    </w:p>
    <w:p w14:paraId="37773CEE" w14:textId="0C19F377" w:rsidR="00207145" w:rsidRPr="004B7FB5" w:rsidRDefault="00207145" w:rsidP="004B7FB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B7FB5">
        <w:rPr>
          <w:rFonts w:ascii="Tahoma" w:eastAsia="Arial Unicode MS" w:hAnsi="Tahoma" w:cs="Tahoma"/>
          <w:kern w:val="1"/>
          <w:sz w:val="22"/>
          <w:szCs w:val="22"/>
          <w:lang w:eastAsia="ar-SA"/>
        </w:rPr>
        <w:t>sprawności układu kierowniczego;</w:t>
      </w:r>
    </w:p>
    <w:p w14:paraId="746947FB" w14:textId="77777777" w:rsidR="00207145" w:rsidRPr="004C2C17" w:rsidRDefault="00207145" w:rsidP="004B7FB5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obecności ewentualnych wycieków płynów eksploatacyjnych;</w:t>
      </w:r>
    </w:p>
    <w:p w14:paraId="05FB5A01" w14:textId="77777777" w:rsidR="00207145" w:rsidRPr="004C2C17" w:rsidRDefault="00207145" w:rsidP="004B7FB5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sprawności oświetlenia zewnętrznego;</w:t>
      </w:r>
    </w:p>
    <w:p w14:paraId="16B8888C" w14:textId="77777777" w:rsidR="00207145" w:rsidRPr="004C2C17" w:rsidRDefault="00207145" w:rsidP="004B7FB5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stanu zewnętrznego pojazdu, w tym jego czystości;</w:t>
      </w:r>
    </w:p>
    <w:p w14:paraId="405B0E78" w14:textId="77777777" w:rsidR="00207145" w:rsidRPr="004C2C17" w:rsidRDefault="00207145" w:rsidP="004B7FB5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czystości wnętrza pojazdu;</w:t>
      </w:r>
    </w:p>
    <w:p w14:paraId="0046E07F" w14:textId="77777777" w:rsidR="00207145" w:rsidRPr="004C2C17" w:rsidRDefault="00207145" w:rsidP="004B7FB5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zaprogramowania wyświetlaczy.</w:t>
      </w:r>
    </w:p>
    <w:p w14:paraId="3A1F25E1" w14:textId="52057A42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Wykonawca zobowiązany jest do pełnej realizacji rozkła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du</w:t>
      </w: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jazdy.</w:t>
      </w:r>
    </w:p>
    <w:p w14:paraId="57FCF5FD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Za pełną realizację rozkładu jazdy uznaje się realizację w całości i punktualnie wszystkich kursów w nim wskazanych – pojazdami spełniającymi wszystkie wymagania, co do ich rodzaju i wyposażenia, określone w umowie i w rozkładzie jazdy, przy zachowaniu wszystkich wskazanych w rozkładzie jazdy </w:t>
      </w:r>
      <w:proofErr w:type="spellStart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skomunikowań</w:t>
      </w:r>
      <w:proofErr w:type="spellEnd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pojazdów w celu umożliwienia przesiadki pasażerów.</w:t>
      </w:r>
    </w:p>
    <w:p w14:paraId="1E75DD8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Wykonawca zobowiązany jest do zachowania punktualności przy realizacji Przewozów, chyba że rozkład jazdy dopuszcza opóźnienie pojazdu w celu zachowania skomunikowania z innym pojazdem.</w:t>
      </w:r>
    </w:p>
    <w:p w14:paraId="2AC1409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Oceny punktualności dokonuje się na przystankach początkowych, końcowych oraz pośrednich, wyszczególnionych w rozkładzie jazdy dla kierowcy.</w:t>
      </w:r>
    </w:p>
    <w:p w14:paraId="5D095F62" w14:textId="77777777" w:rsidR="008B3E72" w:rsidRDefault="00207145" w:rsidP="004430BE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 punktualne uznaje się</w:t>
      </w:r>
      <w:r w:rsidR="008B3E72">
        <w:rPr>
          <w:rFonts w:ascii="Tahoma" w:eastAsia="Arial Unicode MS" w:hAnsi="Tahoma" w:cs="Tahoma"/>
          <w:kern w:val="1"/>
          <w:sz w:val="22"/>
          <w:szCs w:val="22"/>
          <w:lang w:eastAsia="ar-SA"/>
        </w:rPr>
        <w:t>:</w:t>
      </w:r>
    </w:p>
    <w:p w14:paraId="427734CB" w14:textId="138D361A" w:rsidR="008B3E72" w:rsidRPr="004430BE" w:rsidRDefault="00207145" w:rsidP="004430B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>odjazdy z przystanków początkowych i pośrednich, wyszczególnionych w rozkładzie jazdy dla kierowcy, zrealizowane zgodnie z rozkładem jazdy</w:t>
      </w:r>
      <w:r w:rsidR="008B3E72" w:rsidRP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lub </w:t>
      </w:r>
      <w:r w:rsidRP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>z przyspieszeniem maksymalnie o 1 minutę lub z opóźnieniem z przystanku początkowego maksymalnie do 3 minut;</w:t>
      </w:r>
    </w:p>
    <w:p w14:paraId="6A99A695" w14:textId="70DF2189" w:rsidR="00207145" w:rsidRPr="008B3E72" w:rsidRDefault="008B3E72" w:rsidP="004430B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przyspieszone </w:t>
      </w:r>
      <w:r w:rsidR="00207145" w:rsidRPr="008B3E72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przyjazdy na przystanki końcowe.</w:t>
      </w:r>
    </w:p>
    <w:p w14:paraId="23989CCA" w14:textId="77777777" w:rsidR="00207145" w:rsidRPr="000556CE" w:rsidRDefault="00207145" w:rsidP="004430BE">
      <w:pPr>
        <w:widowControl/>
        <w:spacing w:line="360" w:lineRule="auto"/>
        <w:ind w:left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>Do oceny punktualności stosuje się czas uśredniony, polegający na zaokrąglaniu pomiaru do pełnych minut – od 30 sekund w górę i do 29 sekund w dół.</w:t>
      </w:r>
    </w:p>
    <w:p w14:paraId="30C3B21F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Wykonawca zobowiązany jest do obsługi wszystkich przystanków na trasie linii.</w:t>
      </w:r>
    </w:p>
    <w:p w14:paraId="5E9526B4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Przez obsłużenie przystanku rozumie się:</w:t>
      </w:r>
    </w:p>
    <w:p w14:paraId="1AFAA042" w14:textId="7D1DE4A5" w:rsidR="00207145" w:rsidRPr="004430BE" w:rsidRDefault="00207145" w:rsidP="004430BE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zatrzymanie pojazdu na przystanku stałym w każdym przypadku lub warunkowym w przypadku żądania przez pasażera zatrzymania pojazdu;</w:t>
      </w:r>
    </w:p>
    <w:p w14:paraId="1BE2C7CA" w14:textId="77777777" w:rsidR="00207145" w:rsidRPr="004C2C17" w:rsidRDefault="00207145" w:rsidP="004430BE">
      <w:pPr>
        <w:widowControl/>
        <w:numPr>
          <w:ilvl w:val="0"/>
          <w:numId w:val="13"/>
        </w:numPr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otwarcie wszystkich drzwi, którymi zamierzają wyjść lub wejść pasażerowie, lub uaktywnienie systemu otwierania drzwi przez pasażerów (Zamawiający będzie uzgadniał z Wykonawcą, który z powyższych wariantów należy przyjmować w danym okresie jako obowiązujący), z wyjątkiem sytuacji, kiedy kierowca pozostawia wybrane drzwi zamknięte ze względów bezpieczeństwa;</w:t>
      </w:r>
    </w:p>
    <w:p w14:paraId="6617529E" w14:textId="77777777" w:rsidR="00207145" w:rsidRPr="004C2C17" w:rsidRDefault="00207145" w:rsidP="004430BE">
      <w:pPr>
        <w:widowControl/>
        <w:numPr>
          <w:ilvl w:val="0"/>
          <w:numId w:val="13"/>
        </w:numPr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umożliwienie wszystkim pasażerom wyjścia i wejścia z/do pojazdu.</w:t>
      </w:r>
    </w:p>
    <w:p w14:paraId="27C9671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Zabroniona jest samowolna zmiana trasy, która skutkowałaby ominięciem przystanku.</w:t>
      </w:r>
    </w:p>
    <w:p w14:paraId="7485BD11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Zabronione jest zatrzymanie pojazdu poza obrębem przystanku lub na przystanku nieujętym w rozkładzie jazdy danej linii w celu umożliwienia wyjścia lub wejścia pasażerów, z wyłączeniem sytuacji nadzwyczajnych (wypadków, awarii danego pojazdu lub innego pojazdu, którego przebieg linii jest zbieżny – w celu umożliwienia pasażerom kontynuowania podróży, zatarasowania dróg, poleceń osób kierujących ruchem itp.).</w:t>
      </w:r>
    </w:p>
    <w:p w14:paraId="49B326D7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 powinien być zatrzymany w takiej odległości od krawężnika, aby było możliwe wejście do pojazdu bezpośrednio z poziomu chodnika. O ile nie uniemożliwia tego sytuacja drogowa, geometria zatoki bądź stan nawierzchni, odległość ta nie może być większa niż 200 mm.</w:t>
      </w:r>
    </w:p>
    <w:p w14:paraId="78E5F512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 pojazdach z funkcją „przyklęku” należy po zatrzymaniu na przystanku obniżyć podłogę na sygnał lub prośbę ustną osoby wewnątrz pojazdu oraz w przypadku, gdy na przystanku oczekują osoby o widocznej ograniczonej sprawności, osoby na wózkach inwalidzkich lub osoby z wózkiem dla dzieci.</w:t>
      </w:r>
    </w:p>
    <w:p w14:paraId="28F7B41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Osobom poruszającym się na wózkach inwalidzkich należy udzielić wszelkiej możliwej pomocy przy wsiadaniu i wysiadaniu z pojazdu, w szczególności wyłożyć pochylnię (lub użyć podnośnika) na prośbę osoby niepełnosprawnej na wózku lub innej, występującej w jej imieniu.</w:t>
      </w:r>
    </w:p>
    <w:p w14:paraId="41C5B10D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Na przystankach początkowych pojazdy powinny być podstawiane co najmniej na 3 minuty przed rozkładową godziną odjazdu, a jeśli zaplanowany w rozkładzie jazdy postój pomiędzy przyjazdem na przystanek końcowy a odjazdem z przystanku początkowego jest krótszy niż 2 minuty, autobus należy podstawić natychmiast po zakończeniu czynności związanych ze zmianą kierunku jazdy.</w:t>
      </w:r>
    </w:p>
    <w:p w14:paraId="58260481" w14:textId="77777777" w:rsidR="00207145" w:rsidRPr="004C2C17" w:rsidRDefault="00207145" w:rsidP="00207145">
      <w:pPr>
        <w:widowControl/>
        <w:numPr>
          <w:ilvl w:val="0"/>
          <w:numId w:val="14"/>
        </w:numPr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Podczas postoju na przystanku końcowym, nieudostępnionego pasażerom i niestanowiącego przerw należnych ustawowo, oznaczonych w rozkładzie jazdy, prowadzący powinien dokonać przeglądu przestrzeni pasażerskiej, a w razie potrzeby:</w:t>
      </w:r>
    </w:p>
    <w:p w14:paraId="4587BF53" w14:textId="43358129" w:rsidR="00207145" w:rsidRPr="004430BE" w:rsidRDefault="00207145" w:rsidP="004430B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usunąć z wnętrza większe zanieczyszczenia (np. gazety, papiery, opakowania)</w:t>
      </w:r>
      <w:bookmarkStart w:id="0" w:name="_Hlk99704728"/>
      <w:r w:rsidRP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>;</w:t>
      </w:r>
      <w:bookmarkEnd w:id="0"/>
    </w:p>
    <w:p w14:paraId="03C3B3AA" w14:textId="77777777" w:rsidR="00207145" w:rsidRPr="004C2C17" w:rsidRDefault="00207145" w:rsidP="004430BE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zgłosić dyspozytorowi ewentualne uszkodzenia wnętrza pojazdu, w tym urządzeń systemów elektronicznych;</w:t>
      </w:r>
    </w:p>
    <w:p w14:paraId="05D03270" w14:textId="77777777" w:rsidR="00207145" w:rsidRPr="004C2C17" w:rsidRDefault="00207145" w:rsidP="004430BE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 okresie funkcjonowania układu klimatyzacji, jeśli zaistnieje taka potrzeba, dokonać kontroli zabezpieczeń przed otwarciem okien przez pasażerów.</w:t>
      </w:r>
    </w:p>
    <w:p w14:paraId="1F2BB693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§3</w:t>
      </w:r>
    </w:p>
    <w:p w14:paraId="6B07EE9B" w14:textId="77777777" w:rsidR="00207145" w:rsidRPr="004C2C17" w:rsidRDefault="00207145" w:rsidP="00207145">
      <w:pPr>
        <w:widowControl/>
        <w:numPr>
          <w:ilvl w:val="0"/>
          <w:numId w:val="7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W czasie jazdy pojazdu zabrania się </w:t>
      </w:r>
      <w:proofErr w:type="spellStart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zachowań</w:t>
      </w:r>
      <w:proofErr w:type="spellEnd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mogących bezpośrednio lub pośrednio wpłynąć na bezpieczeństwo w ruchu drogowym, w szczególności zabrania się:</w:t>
      </w:r>
    </w:p>
    <w:p w14:paraId="2A599BE8" w14:textId="7DDE437D" w:rsidR="00207145" w:rsidRPr="004430BE" w:rsidRDefault="00207145" w:rsidP="004430B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pozostawiania otwartych drzwi;</w:t>
      </w:r>
    </w:p>
    <w:p w14:paraId="4ABEE6D3" w14:textId="77777777" w:rsidR="00207145" w:rsidRPr="004C2C17" w:rsidRDefault="00207145" w:rsidP="004430BE">
      <w:pPr>
        <w:widowControl/>
        <w:numPr>
          <w:ilvl w:val="0"/>
          <w:numId w:val="9"/>
        </w:numPr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przewożenia pasażerów w kabinie kierowcy lub obok kabiny kierowcy, w części pojazdu pomiędzy szybą czołową a barierką oddzielającą od przedziału pasażerskiego;</w:t>
      </w:r>
    </w:p>
    <w:p w14:paraId="18AA1ACD" w14:textId="77777777" w:rsidR="00207145" w:rsidRPr="004C2C17" w:rsidRDefault="00207145" w:rsidP="004430BE">
      <w:pPr>
        <w:widowControl/>
        <w:numPr>
          <w:ilvl w:val="0"/>
          <w:numId w:val="9"/>
        </w:numPr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prowadzenia przez kierowcę długotrwałych rozmów z innymi osobami bezpośrednio lub przez telefon komórkowy; przez długotrwałe rozmowy rozumie się rozmowy na odległość ponad jednego przystanku, a w przypadku rozmowy ze zmiennikiem kierowcy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 </w:t>
      </w: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(bezpośrednio przed lub po dokonaniu zmiany) – na odległość ponad dwóch przystanków; krótkotrwałe rozmowy przez telefon komórkowy mogą odbywać się tylko przy wykorzystaniu zestawu słuchawkowego lub głośnomówiącego;</w:t>
      </w:r>
    </w:p>
    <w:p w14:paraId="50D2DE66" w14:textId="77777777" w:rsidR="00207145" w:rsidRPr="004C2C17" w:rsidRDefault="00207145" w:rsidP="004430BE">
      <w:pPr>
        <w:widowControl/>
        <w:numPr>
          <w:ilvl w:val="0"/>
          <w:numId w:val="9"/>
        </w:numPr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prowadzenia pojazdu z dwiema słuchawkami założonymi na uszy.</w:t>
      </w:r>
    </w:p>
    <w:p w14:paraId="44AAC42C" w14:textId="77777777" w:rsidR="00207145" w:rsidRPr="004C2C17" w:rsidRDefault="00207145" w:rsidP="00207145">
      <w:pPr>
        <w:widowControl/>
        <w:numPr>
          <w:ilvl w:val="0"/>
          <w:numId w:val="7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Zmiana prowadzących pojazd odbywana w trakcie realizacji kursu nie może powodować opóźnień, utrudnień w ruchu i nie powinna trwać dłużej niż jedna minuta.</w:t>
      </w:r>
    </w:p>
    <w:p w14:paraId="6634B302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lastRenderedPageBreak/>
        <w:t>§4</w:t>
      </w:r>
    </w:p>
    <w:p w14:paraId="0EC44A91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Obsługa pasażerów przez kierowców Wykonawcy powinna odbywać się w sposób kulturalny i kompetentny.</w:t>
      </w:r>
    </w:p>
    <w:p w14:paraId="1B6D534D" w14:textId="77777777" w:rsidR="00207145" w:rsidRPr="003416E2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3416E2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Kierujący pojazdami powinni władać językiem polskim w stopniu komunikatywnym, z uwzględnieniem słownictwa dotyczącego obsługi linii komunikacyjnych. </w:t>
      </w:r>
    </w:p>
    <w:p w14:paraId="4C217468" w14:textId="77777777" w:rsidR="00207145" w:rsidRPr="003416E2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3416E2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Pracownicy wykonawcy powinni posiadać znajomość w zakresie zasad taryfowych, przepisów porządkowych, układu komunikacyjnego, kultury obsługi pasażera oraz jakości usług.</w:t>
      </w:r>
    </w:p>
    <w:p w14:paraId="3A7BA5E7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Kierowcy powinni zostać przeszkoleni i udzielać pasażerom odpowiedzi na pytania dotyczące zasad taryfowych, przepisów porządkowych, układu komunikacyjnego.</w:t>
      </w:r>
    </w:p>
    <w:p w14:paraId="34986CE1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Kierowcy muszą posiadać jednolite umundurowanie, w skład którego wchodzi:</w:t>
      </w:r>
    </w:p>
    <w:p w14:paraId="5695C509" w14:textId="77777777" w:rsidR="00207145" w:rsidRPr="004C2C17" w:rsidRDefault="00207145" w:rsidP="00207145">
      <w:pPr>
        <w:widowControl/>
        <w:spacing w:line="360" w:lineRule="auto"/>
        <w:ind w:left="720" w:hanging="294"/>
        <w:jc w:val="both"/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  <w:t>W przypadku mężczyzn:</w:t>
      </w:r>
    </w:p>
    <w:p w14:paraId="4AB4C72E" w14:textId="6C880CE2" w:rsidR="00207145" w:rsidRPr="004430BE" w:rsidRDefault="00207145" w:rsidP="004430B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>koszula w kolorze błękitnym lub białym (w okresie letnim od 1 maja do 30 września dopuszcza się koszulę z krótkim rękawem);</w:t>
      </w:r>
    </w:p>
    <w:p w14:paraId="144A128B" w14:textId="77777777" w:rsidR="00207145" w:rsidRPr="004C2C17" w:rsidRDefault="00207145" w:rsidP="004430BE">
      <w:pPr>
        <w:widowControl/>
        <w:numPr>
          <w:ilvl w:val="0"/>
          <w:numId w:val="8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długie spodnie w kolorze granatowym lub czarnym;</w:t>
      </w:r>
    </w:p>
    <w:p w14:paraId="78B6285F" w14:textId="77777777" w:rsidR="00207145" w:rsidRPr="004C2C17" w:rsidRDefault="00207145" w:rsidP="004430BE">
      <w:pPr>
        <w:widowControl/>
        <w:numPr>
          <w:ilvl w:val="0"/>
          <w:numId w:val="8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marynarka, sweter bądź bezrękawnik w kolorze granatowym lub czarnym;</w:t>
      </w:r>
    </w:p>
    <w:p w14:paraId="7F37C875" w14:textId="77777777" w:rsidR="00207145" w:rsidRPr="004C2C17" w:rsidRDefault="00207145" w:rsidP="004430BE">
      <w:pPr>
        <w:widowControl/>
        <w:numPr>
          <w:ilvl w:val="0"/>
          <w:numId w:val="8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buty w ciemnym kolorze, w sezonie letnim w kolorze jasnym.</w:t>
      </w:r>
    </w:p>
    <w:p w14:paraId="1A122BC3" w14:textId="77777777" w:rsidR="00207145" w:rsidRPr="004C2C17" w:rsidRDefault="00207145" w:rsidP="00207145">
      <w:pPr>
        <w:widowControl/>
        <w:spacing w:line="360" w:lineRule="auto"/>
        <w:ind w:left="720" w:hanging="294"/>
        <w:jc w:val="both"/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  <w:t>W przypadku kobiet:</w:t>
      </w:r>
    </w:p>
    <w:p w14:paraId="4625AA09" w14:textId="5817CB98" w:rsidR="00207145" w:rsidRPr="004430BE" w:rsidRDefault="00207145" w:rsidP="004430B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430BE">
        <w:rPr>
          <w:rFonts w:ascii="Tahoma" w:eastAsia="Arial Unicode MS" w:hAnsi="Tahoma" w:cs="Tahoma"/>
          <w:kern w:val="1"/>
          <w:sz w:val="22"/>
          <w:szCs w:val="22"/>
          <w:lang w:eastAsia="ar-SA"/>
        </w:rPr>
        <w:t>koszula w kolorze błękitnym lub białym (w okresie letnim od 1 maja do 30 września dopuszcza się koszulę z krótkim rękawem);</w:t>
      </w:r>
    </w:p>
    <w:p w14:paraId="2DF8FF13" w14:textId="77777777" w:rsidR="00207145" w:rsidRPr="004C2C17" w:rsidRDefault="00207145" w:rsidP="004430BE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spódnica lub długie spodnie w kolorze granatowym lub czarnym;</w:t>
      </w:r>
    </w:p>
    <w:p w14:paraId="445E53A5" w14:textId="77777777" w:rsidR="00207145" w:rsidRPr="004C2C17" w:rsidRDefault="00207145" w:rsidP="004430BE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marynarka, sweter bądź bezrękawnik w kolorze granatowym lub czarnym;</w:t>
      </w:r>
    </w:p>
    <w:p w14:paraId="71BBAF50" w14:textId="77777777" w:rsidR="00207145" w:rsidRPr="004C2C17" w:rsidRDefault="00207145" w:rsidP="004430BE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buty w ciemnym kolorze, w sezonie letnim w kolorze jasnym.</w:t>
      </w:r>
    </w:p>
    <w:p w14:paraId="4841901D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Zabronione jest palenie tytoniu jak również e-papierosów przez kierowcę w pojeździe.</w:t>
      </w:r>
    </w:p>
    <w:p w14:paraId="164292B6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Zabronione jest jakiekolwiek zamalowywanie, wyklejanie lub zasłanianie bocznych szyb w kabinie kierowcy.</w:t>
      </w:r>
    </w:p>
    <w:p w14:paraId="1303125B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§5</w:t>
      </w:r>
    </w:p>
    <w:p w14:paraId="77E3F669" w14:textId="77777777" w:rsidR="00207145" w:rsidRPr="004C2C17" w:rsidRDefault="00207145" w:rsidP="00207145">
      <w:pPr>
        <w:widowControl/>
        <w:numPr>
          <w:ilvl w:val="0"/>
          <w:numId w:val="3"/>
        </w:numPr>
        <w:tabs>
          <w:tab w:val="clear" w:pos="720"/>
          <w:tab w:val="left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 czasie jazdy po zmroku lub w warunkach niedostatecznej widoczności wnętrze pojazdu w przedziale pasażerskim powinno być w pełni oświetlone. Dopuszcza się niewłączanie przedniej prawej lampy, a podczas jazdy po drogach i ulicach nieoświetlonych – oświetlenia w całej przedniej części wnętrza pojazdu.</w:t>
      </w:r>
    </w:p>
    <w:p w14:paraId="7F7113AD" w14:textId="77777777" w:rsidR="00207145" w:rsidRPr="004C2C17" w:rsidRDefault="00207145" w:rsidP="00207145">
      <w:pPr>
        <w:widowControl/>
        <w:numPr>
          <w:ilvl w:val="0"/>
          <w:numId w:val="3"/>
        </w:numPr>
        <w:tabs>
          <w:tab w:val="clear" w:pos="720"/>
          <w:tab w:val="left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 przedziale pasażerskim powinna być utrzymywana temperatura powietrza w zakresie:</w:t>
      </w:r>
    </w:p>
    <w:p w14:paraId="300CC5AA" w14:textId="77777777" w:rsidR="00207145" w:rsidRPr="004C2C17" w:rsidRDefault="00207145" w:rsidP="00207145">
      <w:pPr>
        <w:widowControl/>
        <w:numPr>
          <w:ilvl w:val="0"/>
          <w:numId w:val="6"/>
        </w:numPr>
        <w:tabs>
          <w:tab w:val="left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od +10ºC do +18ºC – przy temperaturze zewnętrznej poniżej +5ºC,</w:t>
      </w:r>
    </w:p>
    <w:p w14:paraId="7507E14C" w14:textId="77777777" w:rsidR="00207145" w:rsidRPr="004C2C17" w:rsidRDefault="00207145" w:rsidP="00207145">
      <w:pPr>
        <w:widowControl/>
        <w:numPr>
          <w:ilvl w:val="0"/>
          <w:numId w:val="6"/>
        </w:numPr>
        <w:tabs>
          <w:tab w:val="left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od +10ºC do +22ºC – przy temperaturze zewnętrznej od +5ºC do +24ºC,</w:t>
      </w:r>
    </w:p>
    <w:p w14:paraId="4A5B18F2" w14:textId="77777777" w:rsidR="00207145" w:rsidRPr="004C2C17" w:rsidRDefault="00207145" w:rsidP="00207145">
      <w:pPr>
        <w:widowControl/>
        <w:numPr>
          <w:ilvl w:val="0"/>
          <w:numId w:val="6"/>
        </w:numPr>
        <w:tabs>
          <w:tab w:val="left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temperatury niższej o 3ºC od temperatury zewnętrznej przy temperaturze zewnętrznej powyżej +24ºC.</w:t>
      </w:r>
    </w:p>
    <w:p w14:paraId="23D8CAF7" w14:textId="77777777" w:rsidR="00207145" w:rsidRPr="00C63E5A" w:rsidRDefault="00207145" w:rsidP="00207145">
      <w:pPr>
        <w:widowControl/>
        <w:numPr>
          <w:ilvl w:val="0"/>
          <w:numId w:val="3"/>
        </w:numPr>
        <w:tabs>
          <w:tab w:val="clear" w:pos="720"/>
          <w:tab w:val="left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Kierowca pojazdu obsługujący linię komunikacyjną powinien posiadać właściwy rozkład jazdy.</w:t>
      </w:r>
    </w:p>
    <w:p w14:paraId="26C912F9" w14:textId="37301EA7" w:rsidR="00D21771" w:rsidRDefault="00D21771" w:rsidP="00207145"/>
    <w:sectPr w:rsidR="00D21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0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53"/>
    <w:multiLevelType w:val="multilevel"/>
    <w:tmpl w:val="000000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57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58462E"/>
    <w:multiLevelType w:val="hybridMultilevel"/>
    <w:tmpl w:val="3CE0E130"/>
    <w:lvl w:ilvl="0" w:tplc="5CA80C72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5481456"/>
    <w:multiLevelType w:val="multilevel"/>
    <w:tmpl w:val="BE323B4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>
      <w:start w:val="1"/>
      <w:numFmt w:val="lowerRoman"/>
      <w:lvlText w:val="%3.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</w:lvl>
    <w:lvl w:ilvl="4">
      <w:start w:val="1"/>
      <w:numFmt w:val="lowerLetter"/>
      <w:lvlText w:val="%5.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%6.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5" w15:restartNumberingAfterBreak="0">
    <w:nsid w:val="19CD041A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0965AE0"/>
    <w:multiLevelType w:val="multilevel"/>
    <w:tmpl w:val="1618F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21A5772"/>
    <w:multiLevelType w:val="multilevel"/>
    <w:tmpl w:val="19D08F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Arial Unicode MS" w:hAnsi="Tahoma" w:cs="Tahom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5873CB2"/>
    <w:multiLevelType w:val="hybridMultilevel"/>
    <w:tmpl w:val="D5BE7E98"/>
    <w:lvl w:ilvl="0" w:tplc="FB049136">
      <w:start w:val="1"/>
      <w:numFmt w:val="lowerLetter"/>
      <w:lvlText w:val="%1)"/>
      <w:lvlJc w:val="left"/>
      <w:pPr>
        <w:ind w:left="717" w:hanging="360"/>
      </w:pPr>
      <w:rPr>
        <w:rFonts w:ascii="Tahoma" w:eastAsia="Arial Unicode MS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5F82FB1"/>
    <w:multiLevelType w:val="hybridMultilevel"/>
    <w:tmpl w:val="0C764DCA"/>
    <w:lvl w:ilvl="0" w:tplc="AA5C24AE">
      <w:start w:val="1"/>
      <w:numFmt w:val="lowerLetter"/>
      <w:lvlText w:val="%1)"/>
      <w:lvlJc w:val="left"/>
      <w:pPr>
        <w:ind w:left="720" w:hanging="360"/>
      </w:pPr>
      <w:rPr>
        <w:rFonts w:ascii="Tahoma" w:eastAsia="Arial Unicode MS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93046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DC06AE2"/>
    <w:multiLevelType w:val="multilevel"/>
    <w:tmpl w:val="FB1AAB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Arial Unicode MS" w:hAnsi="Tahoma" w:cs="Tahom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4D92E58"/>
    <w:multiLevelType w:val="multilevel"/>
    <w:tmpl w:val="4DECB9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Arial Unicode MS" w:hAnsi="Tahoma" w:cs="Tahoma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9077DCB"/>
    <w:multiLevelType w:val="hybridMultilevel"/>
    <w:tmpl w:val="6E22A254"/>
    <w:lvl w:ilvl="0" w:tplc="E946E8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BC81EB7"/>
    <w:multiLevelType w:val="multilevel"/>
    <w:tmpl w:val="F6AAA0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Arial Unicode MS" w:hAnsi="Tahoma" w:cs="Tahom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8454B7B"/>
    <w:multiLevelType w:val="multilevel"/>
    <w:tmpl w:val="AEEC27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Arial Unicode MS" w:hAnsi="Tahoma" w:cs="Tahom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34646914">
    <w:abstractNumId w:val="0"/>
  </w:num>
  <w:num w:numId="2" w16cid:durableId="1522235204">
    <w:abstractNumId w:val="1"/>
  </w:num>
  <w:num w:numId="3" w16cid:durableId="1163815066">
    <w:abstractNumId w:val="2"/>
  </w:num>
  <w:num w:numId="4" w16cid:durableId="995113006">
    <w:abstractNumId w:val="6"/>
  </w:num>
  <w:num w:numId="5" w16cid:durableId="31655357">
    <w:abstractNumId w:val="7"/>
  </w:num>
  <w:num w:numId="6" w16cid:durableId="1334842227">
    <w:abstractNumId w:val="3"/>
  </w:num>
  <w:num w:numId="7" w16cid:durableId="1471941826">
    <w:abstractNumId w:val="5"/>
  </w:num>
  <w:num w:numId="8" w16cid:durableId="419720294">
    <w:abstractNumId w:val="11"/>
  </w:num>
  <w:num w:numId="9" w16cid:durableId="1646427000">
    <w:abstractNumId w:val="14"/>
  </w:num>
  <w:num w:numId="10" w16cid:durableId="1838768388">
    <w:abstractNumId w:val="12"/>
  </w:num>
  <w:num w:numId="11" w16cid:durableId="662010888">
    <w:abstractNumId w:val="9"/>
  </w:num>
  <w:num w:numId="12" w16cid:durableId="403918512">
    <w:abstractNumId w:val="4"/>
  </w:num>
  <w:num w:numId="13" w16cid:durableId="191303819">
    <w:abstractNumId w:val="15"/>
  </w:num>
  <w:num w:numId="14" w16cid:durableId="1153374383">
    <w:abstractNumId w:val="10"/>
  </w:num>
  <w:num w:numId="15" w16cid:durableId="74473144">
    <w:abstractNumId w:val="8"/>
  </w:num>
  <w:num w:numId="16" w16cid:durableId="1517497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45"/>
    <w:rsid w:val="002041F3"/>
    <w:rsid w:val="00207145"/>
    <w:rsid w:val="002461F8"/>
    <w:rsid w:val="004430BE"/>
    <w:rsid w:val="004B7FB5"/>
    <w:rsid w:val="00577A19"/>
    <w:rsid w:val="00782959"/>
    <w:rsid w:val="008B3E72"/>
    <w:rsid w:val="00923C3F"/>
    <w:rsid w:val="00987C55"/>
    <w:rsid w:val="00AF7FDD"/>
    <w:rsid w:val="00CA5CA7"/>
    <w:rsid w:val="00D21771"/>
    <w:rsid w:val="00DE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B3AE8"/>
  <w15:chartTrackingRefBased/>
  <w15:docId w15:val="{90802C53-189F-4749-8EA2-6DE3F12E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14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7145"/>
    <w:pPr>
      <w:widowControl/>
      <w:suppressAutoHyphens w:val="0"/>
      <w:spacing w:after="200" w:line="276" w:lineRule="auto"/>
      <w:ind w:left="720"/>
    </w:pPr>
    <w:rPr>
      <w:rFonts w:ascii="Arial" w:hAnsi="Arial" w:cs="Arial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207145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1200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 Olczak – Kopeć</cp:lastModifiedBy>
  <cp:revision>3</cp:revision>
  <cp:lastPrinted>2025-07-10T10:31:00Z</cp:lastPrinted>
  <dcterms:created xsi:type="dcterms:W3CDTF">2025-07-09T08:55:00Z</dcterms:created>
  <dcterms:modified xsi:type="dcterms:W3CDTF">2025-07-10T10:31:00Z</dcterms:modified>
</cp:coreProperties>
</file>